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221" w:rsidRDefault="003C3E73" w:rsidP="003C3E73">
      <w:pPr>
        <w:jc w:val="center"/>
        <w:rPr>
          <w:rFonts w:ascii="Monotype Corsiva" w:hAnsi="Monotype Corsiva"/>
          <w:color w:val="4F81BD" w:themeColor="accent1"/>
          <w:sz w:val="48"/>
          <w:szCs w:val="48"/>
        </w:rPr>
      </w:pPr>
      <w:r w:rsidRPr="003C3E73">
        <w:rPr>
          <w:rFonts w:ascii="Monotype Corsiva" w:hAnsi="Monotype Corsiva"/>
          <w:color w:val="4F81BD" w:themeColor="accent1"/>
          <w:sz w:val="48"/>
          <w:szCs w:val="48"/>
        </w:rPr>
        <w:t>Ampliamento dell’offerta formativa</w:t>
      </w:r>
    </w:p>
    <w:p w:rsidR="00DA3810" w:rsidRPr="003C3E73" w:rsidRDefault="00DA3810" w:rsidP="003C3E73">
      <w:pPr>
        <w:jc w:val="center"/>
        <w:rPr>
          <w:rFonts w:ascii="Monotype Corsiva" w:hAnsi="Monotype Corsiva"/>
          <w:color w:val="4F81BD" w:themeColor="accent1"/>
          <w:sz w:val="48"/>
          <w:szCs w:val="48"/>
        </w:rPr>
      </w:pPr>
      <w:r>
        <w:rPr>
          <w:rFonts w:ascii="Monotype Corsiva" w:hAnsi="Monotype Corsiva"/>
          <w:color w:val="4F81BD" w:themeColor="accent1"/>
          <w:sz w:val="48"/>
          <w:szCs w:val="48"/>
        </w:rPr>
        <w:t>Anno Scolastico 2017/2018</w:t>
      </w:r>
    </w:p>
    <w:p w:rsidR="003C3E73" w:rsidRPr="003C3E73" w:rsidRDefault="003C3E73" w:rsidP="003C3E73">
      <w:pPr>
        <w:jc w:val="center"/>
        <w:rPr>
          <w:rFonts w:ascii="Monotype Corsiva" w:hAnsi="Monotype Corsiva"/>
          <w:color w:val="4F81BD" w:themeColor="accent1"/>
          <w:sz w:val="48"/>
          <w:szCs w:val="48"/>
        </w:rPr>
      </w:pPr>
      <w:r w:rsidRPr="003C3E73">
        <w:rPr>
          <w:rFonts w:ascii="Monotype Corsiva" w:hAnsi="Monotype Corsiva"/>
          <w:color w:val="4F81BD" w:themeColor="accent1"/>
          <w:sz w:val="48"/>
          <w:szCs w:val="48"/>
        </w:rPr>
        <w:t>Laboratorio linguistico classi prime</w:t>
      </w:r>
    </w:p>
    <w:p w:rsidR="003C3E73" w:rsidRPr="003C3E73" w:rsidRDefault="003C3E73" w:rsidP="003C3E73">
      <w:pPr>
        <w:jc w:val="center"/>
        <w:rPr>
          <w:rFonts w:ascii="Monotype Corsiva" w:hAnsi="Monotype Corsiva"/>
          <w:color w:val="4F81BD" w:themeColor="accent1"/>
          <w:sz w:val="48"/>
          <w:szCs w:val="48"/>
        </w:rPr>
      </w:pPr>
      <w:r w:rsidRPr="003C3E73">
        <w:rPr>
          <w:rFonts w:ascii="Monotype Corsiva" w:hAnsi="Monotype Corsiva"/>
          <w:color w:val="4F81BD" w:themeColor="accent1"/>
          <w:sz w:val="48"/>
          <w:szCs w:val="48"/>
        </w:rPr>
        <w:t>“</w:t>
      </w:r>
      <w:r w:rsidR="00961C12">
        <w:rPr>
          <w:rFonts w:ascii="Monotype Corsiva" w:hAnsi="Monotype Corsiva"/>
          <w:color w:val="4F81BD" w:themeColor="accent1"/>
          <w:sz w:val="48"/>
          <w:szCs w:val="48"/>
        </w:rPr>
        <w:t>Grammatica…mente”</w:t>
      </w:r>
    </w:p>
    <w:p w:rsidR="003C3E73" w:rsidRDefault="00961C12" w:rsidP="003C3E73">
      <w:pPr>
        <w:jc w:val="center"/>
        <w:rPr>
          <w:sz w:val="40"/>
          <w:szCs w:val="40"/>
        </w:rPr>
      </w:pPr>
      <w:r>
        <w:rPr>
          <w:noProof/>
          <w:color w:val="0000FF"/>
          <w:lang w:eastAsia="it-IT"/>
        </w:rPr>
        <w:drawing>
          <wp:inline distT="0" distB="0" distL="0" distR="0">
            <wp:extent cx="5788626" cy="4216629"/>
            <wp:effectExtent l="19050" t="0" r="2574" b="0"/>
            <wp:docPr id="7" name="irc_mi" descr="Immagine correlata">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magine correlata">
                      <a:hlinkClick r:id="rId6"/>
                    </pic:cNvPr>
                    <pic:cNvPicPr>
                      <a:picLocks noChangeAspect="1" noChangeArrowheads="1"/>
                    </pic:cNvPicPr>
                  </pic:nvPicPr>
                  <pic:blipFill>
                    <a:blip r:embed="rId7" cstate="print"/>
                    <a:srcRect/>
                    <a:stretch>
                      <a:fillRect/>
                    </a:stretch>
                  </pic:blipFill>
                  <pic:spPr bwMode="auto">
                    <a:xfrm>
                      <a:off x="0" y="0"/>
                      <a:ext cx="5793675" cy="4220307"/>
                    </a:xfrm>
                    <a:prstGeom prst="rect">
                      <a:avLst/>
                    </a:prstGeom>
                    <a:noFill/>
                    <a:ln w="9525">
                      <a:noFill/>
                      <a:miter lim="800000"/>
                      <a:headEnd/>
                      <a:tailEnd/>
                    </a:ln>
                  </pic:spPr>
                </pic:pic>
              </a:graphicData>
            </a:graphic>
          </wp:inline>
        </w:drawing>
      </w:r>
    </w:p>
    <w:p w:rsidR="00BF7001" w:rsidRDefault="00BF7001" w:rsidP="003C3E73">
      <w:pPr>
        <w:jc w:val="center"/>
        <w:rPr>
          <w:rFonts w:ascii="Monotype Corsiva" w:hAnsi="Monotype Corsiva"/>
          <w:color w:val="4F81BD" w:themeColor="accent1"/>
          <w:sz w:val="96"/>
          <w:szCs w:val="96"/>
        </w:rPr>
      </w:pPr>
    </w:p>
    <w:p w:rsidR="00BF7001" w:rsidRDefault="00BF7001" w:rsidP="003C3E73">
      <w:pPr>
        <w:jc w:val="center"/>
        <w:rPr>
          <w:rFonts w:ascii="Monotype Corsiva" w:hAnsi="Monotype Corsiva"/>
          <w:color w:val="4F81BD" w:themeColor="accent1"/>
          <w:sz w:val="96"/>
          <w:szCs w:val="96"/>
        </w:rPr>
      </w:pPr>
    </w:p>
    <w:p w:rsidR="00BF7001" w:rsidRDefault="00BF7001" w:rsidP="003C3E73">
      <w:pPr>
        <w:jc w:val="center"/>
        <w:rPr>
          <w:rFonts w:ascii="Monotype Corsiva" w:hAnsi="Monotype Corsiva"/>
          <w:color w:val="4F81BD" w:themeColor="accent1"/>
          <w:sz w:val="96"/>
          <w:szCs w:val="96"/>
        </w:rPr>
      </w:pPr>
    </w:p>
    <w:tbl>
      <w:tblPr>
        <w:tblStyle w:val="Grigliatabella"/>
        <w:tblW w:w="0" w:type="auto"/>
        <w:tblLook w:val="04A0" w:firstRow="1" w:lastRow="0" w:firstColumn="1" w:lastColumn="0" w:noHBand="0" w:noVBand="1"/>
      </w:tblPr>
      <w:tblGrid>
        <w:gridCol w:w="4882"/>
        <w:gridCol w:w="4882"/>
      </w:tblGrid>
      <w:tr w:rsidR="00BF7001" w:rsidTr="00BF7001">
        <w:trPr>
          <w:trHeight w:val="857"/>
        </w:trPr>
        <w:tc>
          <w:tcPr>
            <w:tcW w:w="4882" w:type="dxa"/>
          </w:tcPr>
          <w:p w:rsidR="00BF7001" w:rsidRPr="00BF7001" w:rsidRDefault="00BF7001" w:rsidP="00BF7001">
            <w:pPr>
              <w:rPr>
                <w:color w:val="4F81BD" w:themeColor="accent1"/>
                <w:sz w:val="36"/>
                <w:szCs w:val="36"/>
              </w:rPr>
            </w:pPr>
          </w:p>
          <w:p w:rsidR="00BF7001" w:rsidRPr="009917D7" w:rsidRDefault="00BF7001" w:rsidP="00853DE2">
            <w:pPr>
              <w:rPr>
                <w:b/>
                <w:sz w:val="24"/>
                <w:szCs w:val="24"/>
              </w:rPr>
            </w:pPr>
            <w:r w:rsidRPr="009917D7">
              <w:rPr>
                <w:b/>
                <w:sz w:val="24"/>
                <w:szCs w:val="24"/>
              </w:rPr>
              <w:t>Premessa</w:t>
            </w:r>
          </w:p>
          <w:p w:rsidR="00BF7001" w:rsidRPr="00BF7001" w:rsidRDefault="00BF7001" w:rsidP="003C3E73">
            <w:pPr>
              <w:jc w:val="center"/>
              <w:rPr>
                <w:color w:val="4F81BD" w:themeColor="accent1"/>
                <w:sz w:val="96"/>
                <w:szCs w:val="96"/>
              </w:rPr>
            </w:pPr>
          </w:p>
        </w:tc>
        <w:tc>
          <w:tcPr>
            <w:tcW w:w="4882" w:type="dxa"/>
          </w:tcPr>
          <w:p w:rsidR="00BF7001" w:rsidRDefault="00BF7001" w:rsidP="00BF7001">
            <w:pPr>
              <w:autoSpaceDE w:val="0"/>
              <w:autoSpaceDN w:val="0"/>
              <w:adjustRightInd w:val="0"/>
              <w:jc w:val="both"/>
              <w:rPr>
                <w:rFonts w:cs="Calibri"/>
              </w:rPr>
            </w:pPr>
          </w:p>
          <w:p w:rsidR="00BF7001" w:rsidRDefault="00BF7001" w:rsidP="00BF7001">
            <w:pPr>
              <w:autoSpaceDE w:val="0"/>
              <w:autoSpaceDN w:val="0"/>
              <w:adjustRightInd w:val="0"/>
              <w:jc w:val="both"/>
              <w:rPr>
                <w:rFonts w:cs="Calibri"/>
              </w:rPr>
            </w:pPr>
          </w:p>
          <w:p w:rsidR="00BF7001" w:rsidRPr="00BF7001" w:rsidRDefault="00BF7001" w:rsidP="00BF7001">
            <w:pPr>
              <w:autoSpaceDE w:val="0"/>
              <w:autoSpaceDN w:val="0"/>
              <w:adjustRightInd w:val="0"/>
              <w:jc w:val="both"/>
              <w:rPr>
                <w:rFonts w:cs="Calibri"/>
              </w:rPr>
            </w:pPr>
            <w:r w:rsidRPr="00BF7001">
              <w:rPr>
                <w:rFonts w:cs="Calibri"/>
              </w:rPr>
              <w:t>Il laboratorio “Grammatica…mente” è finalizzato a migliorare e consolidare il livello qualitativo degli alunni e favorire il loro successo scolastico nell’area dell’italiano.</w:t>
            </w:r>
          </w:p>
          <w:p w:rsidR="00BF7001" w:rsidRPr="00BF7001" w:rsidRDefault="00BF7001" w:rsidP="00BF7001">
            <w:pPr>
              <w:autoSpaceDE w:val="0"/>
              <w:autoSpaceDN w:val="0"/>
              <w:adjustRightInd w:val="0"/>
              <w:jc w:val="both"/>
              <w:rPr>
                <w:rFonts w:cs="Calibri"/>
              </w:rPr>
            </w:pPr>
            <w:r w:rsidRPr="00BF7001">
              <w:rPr>
                <w:rFonts w:cs="Calibri"/>
              </w:rPr>
              <w:t xml:space="preserve">L’individuazione degli effettivi bisogni formativi di ciascun alunno, intesi sia come ampliamenti che come potenziamenti, recuperi o svantaggi culturali in genere, potrà consentire di predisporre degli interventi individualizzati e specifici, in modo da rispondere ai bisogni differenziati degli alunni, per garantire loro pari opportunità formative, nel rispetto dei tempi e delle modalità diverse di apprendimento. </w:t>
            </w:r>
          </w:p>
          <w:p w:rsidR="00BF7001" w:rsidRPr="00BF7001" w:rsidRDefault="00BF7001" w:rsidP="00BF7001">
            <w:pPr>
              <w:pStyle w:val="Default"/>
              <w:rPr>
                <w:rFonts w:asciiTheme="minorHAnsi" w:hAnsiTheme="minorHAnsi"/>
                <w:sz w:val="22"/>
                <w:szCs w:val="22"/>
              </w:rPr>
            </w:pPr>
            <w:r w:rsidRPr="00BF7001">
              <w:rPr>
                <w:rFonts w:asciiTheme="minorHAnsi" w:hAnsiTheme="minorHAnsi"/>
                <w:sz w:val="22"/>
                <w:szCs w:val="22"/>
              </w:rPr>
              <w:t xml:space="preserve">Il laboratorio coinvolge le classi Prime, poiché si ritiene che proprio durante il primo anno si creino per il discente i presupposti metodologici, cognitivi e meta-cognitivi </w:t>
            </w:r>
            <w:r w:rsidRPr="00BF7001">
              <w:rPr>
                <w:rFonts w:asciiTheme="minorHAnsi" w:hAnsiTheme="minorHAnsi"/>
                <w:i/>
                <w:iCs/>
                <w:sz w:val="22"/>
                <w:szCs w:val="22"/>
              </w:rPr>
              <w:t xml:space="preserve">fondamentali </w:t>
            </w:r>
            <w:r w:rsidRPr="00BF7001">
              <w:rPr>
                <w:rFonts w:asciiTheme="minorHAnsi" w:hAnsiTheme="minorHAnsi"/>
                <w:sz w:val="22"/>
                <w:szCs w:val="22"/>
              </w:rPr>
              <w:t xml:space="preserve">che gli consentiranno di affrontare in modo più proficuo gli impegni di studio successivi. </w:t>
            </w:r>
          </w:p>
          <w:p w:rsidR="00BF7001" w:rsidRPr="00BF7001" w:rsidRDefault="00BF7001" w:rsidP="00BF7001">
            <w:pPr>
              <w:autoSpaceDE w:val="0"/>
              <w:autoSpaceDN w:val="0"/>
              <w:adjustRightInd w:val="0"/>
              <w:jc w:val="both"/>
              <w:rPr>
                <w:rFonts w:cs="Calibri"/>
              </w:rPr>
            </w:pPr>
            <w:r w:rsidRPr="00BF7001">
              <w:t xml:space="preserve">La scarsa conoscenza e pratica della grammatica italiana, comprovate da numerosi indicatori (prove INVALSI </w:t>
            </w:r>
            <w:r w:rsidRPr="00BF7001">
              <w:rPr>
                <w:i/>
                <w:iCs/>
              </w:rPr>
              <w:t>in primis</w:t>
            </w:r>
            <w:r w:rsidRPr="00BF7001">
              <w:t>), si accompagnano spesso, lo dice l’esperienza nelle classi, ad una certa disaffezione (talvolta avversione) da parte degli alunni verso questa materia – di qui il titolo, assegnato alla progettualità. Resta tuttavia indubbio che una conoscenza solida della grammatica rappresenta un requisito irrinunciabile per sviluppare una buona padronanza della lingua italiana, con tutto ciò che ne consegue per l’apprendimento delle altre discipline, in particolare per le lingue straniere.</w:t>
            </w:r>
          </w:p>
          <w:p w:rsidR="00BF7001" w:rsidRPr="00BF7001" w:rsidRDefault="00BF7001" w:rsidP="003C3E73">
            <w:pPr>
              <w:jc w:val="center"/>
              <w:rPr>
                <w:color w:val="4F81BD" w:themeColor="accent1"/>
                <w:sz w:val="96"/>
                <w:szCs w:val="96"/>
              </w:rPr>
            </w:pPr>
          </w:p>
        </w:tc>
      </w:tr>
      <w:tr w:rsidR="00853DE2" w:rsidRPr="0047136E" w:rsidTr="00853DE2">
        <w:tc>
          <w:tcPr>
            <w:tcW w:w="4882" w:type="dxa"/>
          </w:tcPr>
          <w:p w:rsidR="00853DE2" w:rsidRPr="009917D7" w:rsidRDefault="00853DE2" w:rsidP="0065100F">
            <w:pPr>
              <w:autoSpaceDE w:val="0"/>
              <w:autoSpaceDN w:val="0"/>
              <w:adjustRightInd w:val="0"/>
              <w:rPr>
                <w:rFonts w:cs="Times New Roman,BoldItalic"/>
                <w:b/>
                <w:bCs/>
                <w:iCs/>
                <w:sz w:val="24"/>
                <w:szCs w:val="24"/>
              </w:rPr>
            </w:pPr>
            <w:r w:rsidRPr="009917D7">
              <w:rPr>
                <w:rFonts w:cs="Times New Roman,BoldItalic"/>
                <w:b/>
                <w:bCs/>
                <w:iCs/>
                <w:sz w:val="24"/>
                <w:szCs w:val="24"/>
              </w:rPr>
              <w:t>FINALITA’</w:t>
            </w:r>
          </w:p>
          <w:p w:rsidR="00853DE2" w:rsidRPr="0047136E" w:rsidRDefault="00853DE2" w:rsidP="0065100F">
            <w:pPr>
              <w:jc w:val="both"/>
              <w:rPr>
                <w:sz w:val="24"/>
                <w:szCs w:val="24"/>
              </w:rPr>
            </w:pPr>
          </w:p>
        </w:tc>
        <w:tc>
          <w:tcPr>
            <w:tcW w:w="4882" w:type="dxa"/>
          </w:tcPr>
          <w:p w:rsidR="00853DE2" w:rsidRPr="00853DE2" w:rsidRDefault="00853DE2" w:rsidP="0065100F">
            <w:pPr>
              <w:autoSpaceDE w:val="0"/>
              <w:autoSpaceDN w:val="0"/>
              <w:adjustRightInd w:val="0"/>
              <w:rPr>
                <w:rFonts w:cs="Times New Roman"/>
              </w:rPr>
            </w:pPr>
            <w:r w:rsidRPr="00853DE2">
              <w:rPr>
                <w:rFonts w:cs="Times New Roman"/>
              </w:rPr>
              <w:t>- Potenziare gli apprendimenti degli alunni delle classi destinatarie del progetto;</w:t>
            </w:r>
          </w:p>
          <w:p w:rsidR="00853DE2" w:rsidRPr="00853DE2" w:rsidRDefault="00853DE2" w:rsidP="0065100F">
            <w:pPr>
              <w:autoSpaceDE w:val="0"/>
              <w:autoSpaceDN w:val="0"/>
              <w:adjustRightInd w:val="0"/>
              <w:rPr>
                <w:rFonts w:cs="Times New Roman"/>
              </w:rPr>
            </w:pPr>
            <w:r w:rsidRPr="00853DE2">
              <w:rPr>
                <w:rFonts w:cs="Times New Roman"/>
              </w:rPr>
              <w:t>- promuovere una più sentita socializzazione nella vita comunitaria scolastica;</w:t>
            </w:r>
          </w:p>
          <w:p w:rsidR="00853DE2" w:rsidRPr="00853DE2" w:rsidRDefault="00853DE2" w:rsidP="0065100F">
            <w:pPr>
              <w:autoSpaceDE w:val="0"/>
              <w:autoSpaceDN w:val="0"/>
              <w:adjustRightInd w:val="0"/>
              <w:rPr>
                <w:rFonts w:cs="Times New Roman"/>
              </w:rPr>
            </w:pPr>
            <w:r w:rsidRPr="00853DE2">
              <w:rPr>
                <w:rFonts w:cs="Times New Roman"/>
              </w:rPr>
              <w:t>- innalzare il tasso di successo scolastico;</w:t>
            </w:r>
          </w:p>
          <w:p w:rsidR="00853DE2" w:rsidRDefault="00853DE2" w:rsidP="0065100F">
            <w:pPr>
              <w:autoSpaceDE w:val="0"/>
              <w:autoSpaceDN w:val="0"/>
              <w:adjustRightInd w:val="0"/>
              <w:rPr>
                <w:rFonts w:cs="Times New Roman"/>
              </w:rPr>
            </w:pPr>
            <w:r w:rsidRPr="00853DE2">
              <w:rPr>
                <w:rFonts w:cs="Times New Roman"/>
              </w:rPr>
              <w:t>-colmare il gap formativo</w:t>
            </w:r>
            <w:r>
              <w:rPr>
                <w:rFonts w:cs="Times New Roman"/>
              </w:rPr>
              <w:t>;</w:t>
            </w:r>
          </w:p>
          <w:p w:rsidR="00853DE2" w:rsidRPr="00853DE2" w:rsidRDefault="00853DE2" w:rsidP="00853DE2">
            <w:pPr>
              <w:autoSpaceDE w:val="0"/>
              <w:autoSpaceDN w:val="0"/>
              <w:adjustRightInd w:val="0"/>
              <w:rPr>
                <w:rFonts w:ascii="Calibri" w:hAnsi="Calibri" w:cs="Calibri"/>
              </w:rPr>
            </w:pPr>
            <w:r>
              <w:rPr>
                <w:rFonts w:ascii="Calibri" w:hAnsi="Calibri" w:cs="Calibri"/>
                <w:sz w:val="24"/>
                <w:szCs w:val="24"/>
              </w:rPr>
              <w:t>-</w:t>
            </w:r>
            <w:r>
              <w:rPr>
                <w:rFonts w:ascii="Calibri" w:hAnsi="Calibri" w:cs="Calibri"/>
              </w:rPr>
              <w:t>r</w:t>
            </w:r>
            <w:r w:rsidRPr="00853DE2">
              <w:rPr>
                <w:rFonts w:ascii="Calibri" w:hAnsi="Calibri" w:cs="Calibri"/>
              </w:rPr>
              <w:t>ecupero e sviluppo di conoscenze, abilità e competenze legate all’apprendimento</w:t>
            </w:r>
          </w:p>
          <w:p w:rsidR="00853DE2" w:rsidRDefault="00853DE2" w:rsidP="00853DE2">
            <w:pPr>
              <w:jc w:val="both"/>
              <w:rPr>
                <w:rFonts w:ascii="Calibri" w:hAnsi="Calibri" w:cs="Calibri"/>
              </w:rPr>
            </w:pPr>
            <w:r w:rsidRPr="00853DE2">
              <w:rPr>
                <w:rFonts w:ascii="Calibri" w:hAnsi="Calibri" w:cs="Calibri"/>
              </w:rPr>
              <w:t>dell’italiano</w:t>
            </w:r>
            <w:r>
              <w:rPr>
                <w:rFonts w:ascii="Calibri" w:hAnsi="Calibri" w:cs="Calibri"/>
              </w:rPr>
              <w:t>;</w:t>
            </w:r>
          </w:p>
          <w:p w:rsidR="00853DE2" w:rsidRDefault="00853DE2" w:rsidP="00853DE2">
            <w:pPr>
              <w:jc w:val="both"/>
              <w:rPr>
                <w:rFonts w:ascii="Calibri" w:hAnsi="Calibri" w:cs="Calibri"/>
              </w:rPr>
            </w:pPr>
            <w:r>
              <w:rPr>
                <w:rFonts w:ascii="Calibri" w:hAnsi="Calibri" w:cs="Calibri"/>
              </w:rPr>
              <w:t>-p</w:t>
            </w:r>
            <w:r w:rsidRPr="00853DE2">
              <w:rPr>
                <w:rFonts w:ascii="Calibri" w:hAnsi="Calibri" w:cs="Calibri"/>
              </w:rPr>
              <w:t>otenziamento dell’autonomia personale, sociale ed operativa</w:t>
            </w:r>
            <w:r>
              <w:rPr>
                <w:rFonts w:ascii="Calibri" w:hAnsi="Calibri" w:cs="Calibri"/>
              </w:rPr>
              <w:t>;</w:t>
            </w:r>
          </w:p>
          <w:p w:rsidR="00853DE2" w:rsidRPr="00853DE2" w:rsidRDefault="00853DE2" w:rsidP="00853DE2">
            <w:pPr>
              <w:autoSpaceDE w:val="0"/>
              <w:autoSpaceDN w:val="0"/>
              <w:adjustRightInd w:val="0"/>
              <w:rPr>
                <w:rFonts w:ascii="Calibri" w:hAnsi="Calibri" w:cs="Calibri"/>
              </w:rPr>
            </w:pPr>
            <w:r>
              <w:rPr>
                <w:rFonts w:ascii="Calibri" w:hAnsi="Calibri" w:cs="Calibri"/>
              </w:rPr>
              <w:t>-a</w:t>
            </w:r>
            <w:r w:rsidRPr="00853DE2">
              <w:rPr>
                <w:rFonts w:ascii="Calibri" w:hAnsi="Calibri" w:cs="Calibri"/>
              </w:rPr>
              <w:t>mpliamento dell’offerta formativa della scuola con un tangibile apprezzamento da parte</w:t>
            </w:r>
          </w:p>
          <w:p w:rsidR="00853DE2" w:rsidRDefault="00853DE2" w:rsidP="00853DE2">
            <w:pPr>
              <w:jc w:val="both"/>
              <w:rPr>
                <w:rFonts w:ascii="Calibri" w:hAnsi="Calibri" w:cs="Calibri"/>
              </w:rPr>
            </w:pPr>
            <w:r w:rsidRPr="00853DE2">
              <w:rPr>
                <w:rFonts w:ascii="Calibri" w:hAnsi="Calibri" w:cs="Calibri"/>
              </w:rPr>
              <w:t>degli alunni frequentanti e delle famiglie</w:t>
            </w:r>
            <w:r>
              <w:rPr>
                <w:rFonts w:ascii="Calibri" w:hAnsi="Calibri" w:cs="Calibri"/>
              </w:rPr>
              <w:t>.</w:t>
            </w:r>
          </w:p>
          <w:p w:rsidR="00853DE2" w:rsidRPr="0047136E" w:rsidRDefault="00853DE2" w:rsidP="00853DE2">
            <w:pPr>
              <w:jc w:val="both"/>
              <w:rPr>
                <w:sz w:val="24"/>
                <w:szCs w:val="24"/>
              </w:rPr>
            </w:pPr>
          </w:p>
        </w:tc>
      </w:tr>
      <w:tr w:rsidR="00853DE2" w:rsidRPr="0047136E" w:rsidTr="00853DE2">
        <w:tc>
          <w:tcPr>
            <w:tcW w:w="4882" w:type="dxa"/>
          </w:tcPr>
          <w:p w:rsidR="00853DE2" w:rsidRPr="009917D7" w:rsidRDefault="00853DE2" w:rsidP="0065100F">
            <w:pPr>
              <w:rPr>
                <w:rFonts w:cs="Times New Roman"/>
                <w:b/>
                <w:bCs/>
                <w:iCs/>
                <w:sz w:val="24"/>
                <w:szCs w:val="24"/>
              </w:rPr>
            </w:pPr>
            <w:r w:rsidRPr="009917D7">
              <w:rPr>
                <w:rFonts w:cs="Times New Roman"/>
                <w:b/>
                <w:bCs/>
                <w:iCs/>
                <w:sz w:val="24"/>
                <w:szCs w:val="24"/>
              </w:rPr>
              <w:lastRenderedPageBreak/>
              <w:t>OBIETTIVI</w:t>
            </w:r>
            <w:r w:rsidR="009917D7" w:rsidRPr="009917D7">
              <w:rPr>
                <w:rFonts w:cs="Times New Roman"/>
                <w:b/>
                <w:bCs/>
                <w:iCs/>
                <w:sz w:val="24"/>
                <w:szCs w:val="24"/>
              </w:rPr>
              <w:t xml:space="preserve"> FORMATIVI E SPECIFICI</w:t>
            </w:r>
          </w:p>
          <w:p w:rsidR="00853DE2" w:rsidRPr="0047136E" w:rsidRDefault="00853DE2" w:rsidP="0065100F">
            <w:pPr>
              <w:jc w:val="both"/>
              <w:rPr>
                <w:sz w:val="24"/>
                <w:szCs w:val="24"/>
              </w:rPr>
            </w:pPr>
          </w:p>
        </w:tc>
        <w:tc>
          <w:tcPr>
            <w:tcW w:w="4882" w:type="dxa"/>
          </w:tcPr>
          <w:p w:rsidR="00853DE2" w:rsidRPr="009917D7" w:rsidRDefault="00853DE2" w:rsidP="0065100F">
            <w:pPr>
              <w:autoSpaceDE w:val="0"/>
              <w:autoSpaceDN w:val="0"/>
              <w:adjustRightInd w:val="0"/>
              <w:rPr>
                <w:rFonts w:cs="Times New Roman"/>
              </w:rPr>
            </w:pPr>
            <w:r w:rsidRPr="009917D7">
              <w:rPr>
                <w:rFonts w:cs="Times New Roman"/>
              </w:rPr>
              <w:t>- Fornire agli studenti strumenti cognitivi e capacità di valutazione sufficienti per essere in</w:t>
            </w:r>
          </w:p>
          <w:p w:rsidR="00853DE2" w:rsidRPr="009917D7" w:rsidRDefault="00853DE2" w:rsidP="0065100F">
            <w:pPr>
              <w:autoSpaceDE w:val="0"/>
              <w:autoSpaceDN w:val="0"/>
              <w:adjustRightInd w:val="0"/>
              <w:rPr>
                <w:rFonts w:cs="Times New Roman"/>
              </w:rPr>
            </w:pPr>
            <w:r w:rsidRPr="009917D7">
              <w:rPr>
                <w:rFonts w:cs="Times New Roman"/>
              </w:rPr>
              <w:t>grado di distinguere, tra le varie risposte fornite, quella più adeguata e probabile in piena autonomia;</w:t>
            </w:r>
          </w:p>
          <w:p w:rsidR="00853DE2" w:rsidRPr="009917D7" w:rsidRDefault="00853DE2" w:rsidP="0065100F">
            <w:pPr>
              <w:autoSpaceDE w:val="0"/>
              <w:autoSpaceDN w:val="0"/>
              <w:adjustRightInd w:val="0"/>
              <w:rPr>
                <w:rFonts w:cs="Times New Roman"/>
              </w:rPr>
            </w:pPr>
            <w:r w:rsidRPr="009917D7">
              <w:rPr>
                <w:rFonts w:cs="Times New Roman"/>
              </w:rPr>
              <w:t>- migliorare la capacità di attenzione e concentrazione;</w:t>
            </w:r>
          </w:p>
          <w:p w:rsidR="00853DE2" w:rsidRPr="009917D7" w:rsidRDefault="00853DE2" w:rsidP="0065100F">
            <w:pPr>
              <w:autoSpaceDE w:val="0"/>
              <w:autoSpaceDN w:val="0"/>
              <w:adjustRightInd w:val="0"/>
              <w:rPr>
                <w:rFonts w:cs="Times New Roman"/>
              </w:rPr>
            </w:pPr>
            <w:r w:rsidRPr="009917D7">
              <w:rPr>
                <w:rFonts w:cs="Times New Roman"/>
              </w:rPr>
              <w:t>- potenziare lo sviluppo delle abilità di ascoltare, comunicare, leggere, comprendere e</w:t>
            </w:r>
            <w:r w:rsidR="001D306C">
              <w:rPr>
                <w:rFonts w:cs="Times New Roman"/>
              </w:rPr>
              <w:t xml:space="preserve"> </w:t>
            </w:r>
            <w:r w:rsidRPr="009917D7">
              <w:rPr>
                <w:rFonts w:cs="Times New Roman"/>
              </w:rPr>
              <w:t>decodificare;</w:t>
            </w:r>
          </w:p>
          <w:p w:rsidR="00853DE2" w:rsidRPr="009917D7" w:rsidRDefault="00853DE2" w:rsidP="0065100F">
            <w:pPr>
              <w:autoSpaceDE w:val="0"/>
              <w:autoSpaceDN w:val="0"/>
              <w:adjustRightInd w:val="0"/>
              <w:rPr>
                <w:rFonts w:cs="Times New Roman"/>
              </w:rPr>
            </w:pPr>
            <w:r w:rsidRPr="009917D7">
              <w:rPr>
                <w:rFonts w:cs="Times New Roman"/>
              </w:rPr>
              <w:t>- rafforzare le capacità logiche;</w:t>
            </w:r>
          </w:p>
          <w:p w:rsidR="00853DE2" w:rsidRPr="009917D7" w:rsidRDefault="00853DE2" w:rsidP="00853DE2">
            <w:pPr>
              <w:autoSpaceDE w:val="0"/>
              <w:autoSpaceDN w:val="0"/>
              <w:adjustRightInd w:val="0"/>
              <w:rPr>
                <w:rFonts w:ascii="Calibri" w:hAnsi="Calibri" w:cs="Calibri"/>
              </w:rPr>
            </w:pPr>
            <w:r w:rsidRPr="009917D7">
              <w:rPr>
                <w:rFonts w:cs="Times New Roman"/>
              </w:rPr>
              <w:t xml:space="preserve">- </w:t>
            </w:r>
            <w:r w:rsidRPr="009917D7">
              <w:rPr>
                <w:rFonts w:ascii="Calibri" w:hAnsi="Calibri" w:cs="Calibri"/>
              </w:rPr>
              <w:t>colmare le lacune evidenziate per migliorare il processo di apprendimento;</w:t>
            </w:r>
          </w:p>
          <w:p w:rsidR="00853DE2" w:rsidRPr="009917D7" w:rsidRDefault="00853DE2" w:rsidP="00853DE2">
            <w:pPr>
              <w:autoSpaceDE w:val="0"/>
              <w:autoSpaceDN w:val="0"/>
              <w:adjustRightInd w:val="0"/>
              <w:rPr>
                <w:rFonts w:ascii="Calibri" w:hAnsi="Calibri" w:cs="Calibri"/>
              </w:rPr>
            </w:pPr>
            <w:r w:rsidRPr="009917D7">
              <w:rPr>
                <w:rFonts w:ascii="Calibri" w:hAnsi="Calibri" w:cs="Calibri"/>
              </w:rPr>
              <w:t>-rendere gli alunni capaci di organizzare le conoscenze acquisite e applicarle correttamente;</w:t>
            </w:r>
          </w:p>
          <w:p w:rsidR="00853DE2" w:rsidRPr="009917D7" w:rsidRDefault="00853DE2" w:rsidP="00853DE2">
            <w:pPr>
              <w:autoSpaceDE w:val="0"/>
              <w:autoSpaceDN w:val="0"/>
              <w:adjustRightInd w:val="0"/>
              <w:rPr>
                <w:rFonts w:ascii="Calibri" w:hAnsi="Calibri" w:cs="Calibri"/>
              </w:rPr>
            </w:pPr>
            <w:r w:rsidRPr="009917D7">
              <w:rPr>
                <w:rFonts w:ascii="Calibri" w:hAnsi="Calibri" w:cs="Calibri"/>
              </w:rPr>
              <w:t>-far acquisire agli alunni un’autonomia di studio crescente, con il miglioramento del</w:t>
            </w:r>
            <w:r w:rsidR="001D306C">
              <w:rPr>
                <w:rFonts w:ascii="Calibri" w:hAnsi="Calibri" w:cs="Calibri"/>
              </w:rPr>
              <w:t xml:space="preserve"> </w:t>
            </w:r>
            <w:bookmarkStart w:id="0" w:name="_GoBack"/>
            <w:bookmarkEnd w:id="0"/>
            <w:r w:rsidRPr="009917D7">
              <w:rPr>
                <w:rFonts w:ascii="Calibri" w:hAnsi="Calibri" w:cs="Calibri"/>
              </w:rPr>
              <w:t>metodo di studio;</w:t>
            </w:r>
          </w:p>
          <w:p w:rsidR="00853DE2" w:rsidRPr="009917D7" w:rsidRDefault="00853DE2" w:rsidP="00853DE2">
            <w:pPr>
              <w:autoSpaceDE w:val="0"/>
              <w:autoSpaceDN w:val="0"/>
              <w:adjustRightInd w:val="0"/>
              <w:rPr>
                <w:rFonts w:ascii="Calibri" w:hAnsi="Calibri" w:cs="Calibri"/>
              </w:rPr>
            </w:pPr>
            <w:r w:rsidRPr="009917D7">
              <w:rPr>
                <w:rFonts w:ascii="Calibri" w:hAnsi="Calibri" w:cs="Calibri"/>
              </w:rPr>
              <w:t>-far sì che l’alunno sia in grado di apprezzare gli itinerari formativi anche attraverso il lavoro</w:t>
            </w:r>
          </w:p>
          <w:p w:rsidR="00853DE2" w:rsidRPr="009917D7" w:rsidRDefault="00853DE2" w:rsidP="00853DE2">
            <w:pPr>
              <w:autoSpaceDE w:val="0"/>
              <w:autoSpaceDN w:val="0"/>
              <w:adjustRightInd w:val="0"/>
            </w:pPr>
            <w:r w:rsidRPr="009917D7">
              <w:rPr>
                <w:rFonts w:ascii="Calibri" w:hAnsi="Calibri" w:cs="Calibri"/>
              </w:rPr>
              <w:t>di gruppo.</w:t>
            </w:r>
          </w:p>
        </w:tc>
      </w:tr>
      <w:tr w:rsidR="009917D7" w:rsidRPr="0047136E" w:rsidTr="009917D7">
        <w:tc>
          <w:tcPr>
            <w:tcW w:w="4882" w:type="dxa"/>
          </w:tcPr>
          <w:p w:rsidR="009917D7" w:rsidRPr="0047136E" w:rsidRDefault="009917D7" w:rsidP="0065100F">
            <w:pPr>
              <w:autoSpaceDE w:val="0"/>
              <w:autoSpaceDN w:val="0"/>
              <w:adjustRightInd w:val="0"/>
              <w:rPr>
                <w:rFonts w:cs="Times New Roman"/>
                <w:b/>
                <w:bCs/>
                <w:sz w:val="24"/>
                <w:szCs w:val="24"/>
              </w:rPr>
            </w:pPr>
            <w:r>
              <w:rPr>
                <w:rFonts w:cs="Times New Roman"/>
                <w:b/>
                <w:bCs/>
                <w:sz w:val="24"/>
                <w:szCs w:val="24"/>
              </w:rPr>
              <w:t xml:space="preserve"> PROFILO DELLE </w:t>
            </w:r>
            <w:r w:rsidRPr="0047136E">
              <w:rPr>
                <w:rFonts w:cs="Times New Roman"/>
                <w:b/>
                <w:bCs/>
                <w:sz w:val="24"/>
                <w:szCs w:val="24"/>
              </w:rPr>
              <w:t>COMPETENZE</w:t>
            </w:r>
          </w:p>
          <w:p w:rsidR="009917D7" w:rsidRPr="0047136E" w:rsidRDefault="009917D7" w:rsidP="0065100F">
            <w:pPr>
              <w:jc w:val="both"/>
              <w:rPr>
                <w:sz w:val="24"/>
                <w:szCs w:val="24"/>
              </w:rPr>
            </w:pPr>
          </w:p>
        </w:tc>
        <w:tc>
          <w:tcPr>
            <w:tcW w:w="4882" w:type="dxa"/>
          </w:tcPr>
          <w:p w:rsidR="009917D7" w:rsidRPr="009917D7" w:rsidRDefault="009917D7" w:rsidP="009917D7">
            <w:pPr>
              <w:autoSpaceDE w:val="0"/>
              <w:autoSpaceDN w:val="0"/>
              <w:adjustRightInd w:val="0"/>
            </w:pPr>
            <w:r w:rsidRPr="009917D7">
              <w:t>-Comunicazione nella madrelingua ;</w:t>
            </w:r>
          </w:p>
          <w:p w:rsidR="009917D7" w:rsidRDefault="009917D7" w:rsidP="009917D7">
            <w:pPr>
              <w:autoSpaceDE w:val="0"/>
              <w:autoSpaceDN w:val="0"/>
              <w:adjustRightInd w:val="0"/>
            </w:pPr>
            <w:r w:rsidRPr="009917D7">
              <w:t>- imparare ad imparare (consapevolezza ed espressione culturale);</w:t>
            </w:r>
          </w:p>
          <w:p w:rsidR="009917D7" w:rsidRDefault="009917D7" w:rsidP="009917D7">
            <w:pPr>
              <w:autoSpaceDE w:val="0"/>
              <w:autoSpaceDN w:val="0"/>
              <w:adjustRightInd w:val="0"/>
            </w:pPr>
            <w:r>
              <w:t>-</w:t>
            </w:r>
            <w:r w:rsidRPr="00C74682">
              <w:rPr>
                <w:sz w:val="24"/>
                <w:szCs w:val="24"/>
              </w:rPr>
              <w:t xml:space="preserve"> </w:t>
            </w:r>
            <w:r>
              <w:t>c</w:t>
            </w:r>
            <w:r w:rsidRPr="009917D7">
              <w:t>ompetenze sociali e civiche</w:t>
            </w:r>
            <w:r>
              <w:t>;</w:t>
            </w:r>
          </w:p>
          <w:p w:rsidR="009917D7" w:rsidRPr="009917D7" w:rsidRDefault="009917D7" w:rsidP="009917D7">
            <w:pPr>
              <w:widowControl w:val="0"/>
              <w:autoSpaceDE w:val="0"/>
              <w:autoSpaceDN w:val="0"/>
              <w:adjustRightInd w:val="0"/>
              <w:spacing w:after="240"/>
            </w:pPr>
            <w:r>
              <w:t>-</w:t>
            </w:r>
            <w:r w:rsidRPr="00330823">
              <w:rPr>
                <w:sz w:val="18"/>
                <w:szCs w:val="18"/>
              </w:rPr>
              <w:t xml:space="preserve"> </w:t>
            </w:r>
            <w:r>
              <w:t>r</w:t>
            </w:r>
            <w:r w:rsidRPr="009917D7">
              <w:t>iflette sulla lingua e sulle sue regole di funzionamento.</w:t>
            </w:r>
          </w:p>
        </w:tc>
      </w:tr>
      <w:tr w:rsidR="00F40FA6" w:rsidRPr="0047136E" w:rsidTr="00F40FA6">
        <w:tc>
          <w:tcPr>
            <w:tcW w:w="4882" w:type="dxa"/>
          </w:tcPr>
          <w:p w:rsidR="00F40FA6" w:rsidRPr="00F40FA6" w:rsidRDefault="00F40FA6" w:rsidP="0065100F">
            <w:pPr>
              <w:autoSpaceDE w:val="0"/>
              <w:autoSpaceDN w:val="0"/>
              <w:adjustRightInd w:val="0"/>
              <w:rPr>
                <w:rFonts w:cs="Times New Roman"/>
                <w:b/>
                <w:bCs/>
                <w:iCs/>
                <w:sz w:val="24"/>
                <w:szCs w:val="24"/>
              </w:rPr>
            </w:pPr>
            <w:r w:rsidRPr="00F40FA6">
              <w:rPr>
                <w:rFonts w:cs="Times New Roman"/>
                <w:b/>
                <w:bCs/>
                <w:iCs/>
                <w:sz w:val="24"/>
                <w:szCs w:val="24"/>
              </w:rPr>
              <w:t>CONOSCENZE</w:t>
            </w:r>
          </w:p>
          <w:p w:rsidR="00F40FA6" w:rsidRPr="0047136E" w:rsidRDefault="00F40FA6" w:rsidP="0065100F">
            <w:pPr>
              <w:jc w:val="both"/>
              <w:rPr>
                <w:sz w:val="24"/>
                <w:szCs w:val="24"/>
              </w:rPr>
            </w:pPr>
          </w:p>
        </w:tc>
        <w:tc>
          <w:tcPr>
            <w:tcW w:w="4882" w:type="dxa"/>
          </w:tcPr>
          <w:p w:rsidR="00F40FA6" w:rsidRPr="00F40FA6" w:rsidRDefault="00F40FA6" w:rsidP="00F40FA6">
            <w:pPr>
              <w:widowControl w:val="0"/>
              <w:autoSpaceDE w:val="0"/>
              <w:autoSpaceDN w:val="0"/>
              <w:adjustRightInd w:val="0"/>
              <w:spacing w:after="240"/>
            </w:pPr>
            <w:r w:rsidRPr="00F40FA6">
              <w:t xml:space="preserve">Principali strutture grammaticali della lingua italiana. Elementi di base </w:t>
            </w:r>
            <w:r>
              <w:t xml:space="preserve">della lingua e </w:t>
            </w:r>
            <w:r w:rsidRPr="00F40FA6">
              <w:t>delle funzioni della lingua</w:t>
            </w:r>
            <w:r>
              <w:t xml:space="preserve"> italiana</w:t>
            </w:r>
            <w:r w:rsidRPr="00F40FA6">
              <w:t>. Lessico fondamentale per la gestione di semplici comunicazioni orali in contesti formali e informali.</w:t>
            </w:r>
          </w:p>
          <w:p w:rsidR="00F40FA6" w:rsidRPr="0047136E" w:rsidRDefault="00F40FA6" w:rsidP="00F40FA6">
            <w:pPr>
              <w:autoSpaceDE w:val="0"/>
              <w:autoSpaceDN w:val="0"/>
              <w:adjustRightInd w:val="0"/>
              <w:rPr>
                <w:sz w:val="24"/>
                <w:szCs w:val="24"/>
              </w:rPr>
            </w:pPr>
          </w:p>
        </w:tc>
      </w:tr>
      <w:tr w:rsidR="00F40FA6" w:rsidRPr="0047136E" w:rsidTr="00F40FA6">
        <w:tc>
          <w:tcPr>
            <w:tcW w:w="4882" w:type="dxa"/>
          </w:tcPr>
          <w:p w:rsidR="00F40FA6" w:rsidRPr="00F40FA6" w:rsidRDefault="00F40FA6" w:rsidP="0065100F">
            <w:pPr>
              <w:autoSpaceDE w:val="0"/>
              <w:autoSpaceDN w:val="0"/>
              <w:adjustRightInd w:val="0"/>
              <w:rPr>
                <w:rFonts w:cs="Times New Roman"/>
                <w:b/>
                <w:bCs/>
                <w:iCs/>
                <w:sz w:val="24"/>
                <w:szCs w:val="24"/>
              </w:rPr>
            </w:pPr>
            <w:r w:rsidRPr="00F40FA6">
              <w:rPr>
                <w:rFonts w:cs="Times New Roman"/>
                <w:b/>
                <w:bCs/>
                <w:iCs/>
                <w:sz w:val="24"/>
                <w:szCs w:val="24"/>
              </w:rPr>
              <w:t>CONTENUTI</w:t>
            </w:r>
          </w:p>
          <w:p w:rsidR="00F40FA6" w:rsidRPr="0047136E" w:rsidRDefault="00F40FA6" w:rsidP="0065100F">
            <w:pPr>
              <w:jc w:val="both"/>
              <w:rPr>
                <w:sz w:val="24"/>
                <w:szCs w:val="24"/>
              </w:rPr>
            </w:pPr>
          </w:p>
        </w:tc>
        <w:tc>
          <w:tcPr>
            <w:tcW w:w="4882" w:type="dxa"/>
          </w:tcPr>
          <w:p w:rsidR="00F40FA6" w:rsidRPr="00F40FA6" w:rsidRDefault="00F40FA6" w:rsidP="00F40FA6">
            <w:pPr>
              <w:autoSpaceDE w:val="0"/>
              <w:autoSpaceDN w:val="0"/>
              <w:adjustRightInd w:val="0"/>
            </w:pPr>
            <w:r w:rsidRPr="00F40FA6">
              <w:rPr>
                <w:rFonts w:cs="Times New Roman"/>
              </w:rPr>
              <w:t>Morfologia della lingua italiana</w:t>
            </w:r>
          </w:p>
        </w:tc>
      </w:tr>
      <w:tr w:rsidR="00F40FA6" w:rsidRPr="0047136E" w:rsidTr="00F40FA6">
        <w:tc>
          <w:tcPr>
            <w:tcW w:w="4882" w:type="dxa"/>
          </w:tcPr>
          <w:p w:rsidR="00F40FA6" w:rsidRPr="0047136E" w:rsidRDefault="00F40FA6" w:rsidP="0065100F">
            <w:pPr>
              <w:autoSpaceDE w:val="0"/>
              <w:autoSpaceDN w:val="0"/>
              <w:adjustRightInd w:val="0"/>
              <w:rPr>
                <w:rFonts w:cs="Times New Roman"/>
                <w:b/>
                <w:bCs/>
                <w:i/>
                <w:iCs/>
                <w:sz w:val="24"/>
                <w:szCs w:val="24"/>
              </w:rPr>
            </w:pPr>
            <w:r w:rsidRPr="0047136E">
              <w:rPr>
                <w:rFonts w:cs="Times New Roman"/>
                <w:b/>
                <w:bCs/>
                <w:i/>
                <w:iCs/>
                <w:sz w:val="24"/>
                <w:szCs w:val="24"/>
              </w:rPr>
              <w:t>STRUMENTI E MEZZI</w:t>
            </w:r>
          </w:p>
          <w:p w:rsidR="00F40FA6" w:rsidRPr="0047136E" w:rsidRDefault="00F40FA6" w:rsidP="0065100F">
            <w:pPr>
              <w:jc w:val="both"/>
              <w:rPr>
                <w:sz w:val="24"/>
                <w:szCs w:val="24"/>
              </w:rPr>
            </w:pPr>
          </w:p>
        </w:tc>
        <w:tc>
          <w:tcPr>
            <w:tcW w:w="4882" w:type="dxa"/>
          </w:tcPr>
          <w:p w:rsidR="00F40FA6" w:rsidRPr="00F40FA6" w:rsidRDefault="00F40FA6" w:rsidP="0065100F">
            <w:pPr>
              <w:autoSpaceDE w:val="0"/>
              <w:autoSpaceDN w:val="0"/>
              <w:adjustRightInd w:val="0"/>
              <w:rPr>
                <w:rFonts w:cs="Times New Roman"/>
              </w:rPr>
            </w:pPr>
            <w:r w:rsidRPr="00F40FA6">
              <w:rPr>
                <w:rFonts w:cs="Times New Roman"/>
              </w:rPr>
              <w:t>Libro di testo-Schede strutturate e non – Esercitazioni finalizzate – Fotocopie - Laboratorio informatico</w:t>
            </w:r>
          </w:p>
          <w:p w:rsidR="00F40FA6" w:rsidRPr="0047136E" w:rsidRDefault="00F40FA6" w:rsidP="0065100F">
            <w:pPr>
              <w:jc w:val="both"/>
              <w:rPr>
                <w:sz w:val="24"/>
                <w:szCs w:val="24"/>
              </w:rPr>
            </w:pPr>
          </w:p>
        </w:tc>
      </w:tr>
      <w:tr w:rsidR="00F40FA6" w:rsidRPr="0047136E" w:rsidTr="00F40FA6">
        <w:tc>
          <w:tcPr>
            <w:tcW w:w="4882" w:type="dxa"/>
          </w:tcPr>
          <w:p w:rsidR="00F40FA6" w:rsidRPr="0047136E" w:rsidRDefault="00F40FA6" w:rsidP="0065100F">
            <w:pPr>
              <w:autoSpaceDE w:val="0"/>
              <w:autoSpaceDN w:val="0"/>
              <w:adjustRightInd w:val="0"/>
              <w:rPr>
                <w:rFonts w:cs="Times New Roman"/>
                <w:b/>
                <w:bCs/>
                <w:i/>
                <w:iCs/>
                <w:sz w:val="24"/>
                <w:szCs w:val="24"/>
              </w:rPr>
            </w:pPr>
            <w:r w:rsidRPr="00F40FA6">
              <w:rPr>
                <w:rFonts w:cs="Times New Roman"/>
                <w:b/>
                <w:bCs/>
                <w:iCs/>
                <w:sz w:val="24"/>
                <w:szCs w:val="24"/>
              </w:rPr>
              <w:t>VERIFICA</w:t>
            </w:r>
            <w:r w:rsidRPr="0047136E">
              <w:rPr>
                <w:rFonts w:cs="Times New Roman"/>
                <w:b/>
                <w:bCs/>
                <w:i/>
                <w:iCs/>
                <w:sz w:val="24"/>
                <w:szCs w:val="24"/>
              </w:rPr>
              <w:t xml:space="preserve"> E VALUTAZIONE</w:t>
            </w:r>
          </w:p>
          <w:p w:rsidR="00F40FA6" w:rsidRPr="0047136E" w:rsidRDefault="00F40FA6" w:rsidP="0065100F">
            <w:pPr>
              <w:jc w:val="both"/>
              <w:rPr>
                <w:sz w:val="24"/>
                <w:szCs w:val="24"/>
              </w:rPr>
            </w:pPr>
          </w:p>
        </w:tc>
        <w:tc>
          <w:tcPr>
            <w:tcW w:w="4882" w:type="dxa"/>
          </w:tcPr>
          <w:p w:rsidR="00F40FA6" w:rsidRPr="00F40FA6" w:rsidRDefault="00F40FA6" w:rsidP="00F40FA6">
            <w:pPr>
              <w:autoSpaceDE w:val="0"/>
              <w:autoSpaceDN w:val="0"/>
              <w:adjustRightInd w:val="0"/>
            </w:pPr>
            <w:r w:rsidRPr="00F40FA6">
              <w:rPr>
                <w:rFonts w:cs="Times New Roman"/>
              </w:rPr>
              <w:t>Somministrazione  e correzione di esercizi durante l’ora di laboratorio.</w:t>
            </w:r>
            <w:r w:rsidRPr="00F40FA6">
              <w:t xml:space="preserve"> </w:t>
            </w:r>
          </w:p>
        </w:tc>
      </w:tr>
      <w:tr w:rsidR="00F40FA6" w:rsidRPr="0047136E" w:rsidTr="00F40FA6">
        <w:tc>
          <w:tcPr>
            <w:tcW w:w="4882" w:type="dxa"/>
          </w:tcPr>
          <w:p w:rsidR="00F40FA6" w:rsidRPr="00F40FA6" w:rsidRDefault="00F40FA6" w:rsidP="0065100F">
            <w:pPr>
              <w:autoSpaceDE w:val="0"/>
              <w:autoSpaceDN w:val="0"/>
              <w:adjustRightInd w:val="0"/>
              <w:rPr>
                <w:rFonts w:cs="Times New Roman"/>
                <w:b/>
                <w:bCs/>
                <w:iCs/>
                <w:sz w:val="24"/>
                <w:szCs w:val="24"/>
              </w:rPr>
            </w:pPr>
            <w:r w:rsidRPr="00F40FA6">
              <w:rPr>
                <w:rFonts w:cs="Times New Roman"/>
                <w:b/>
                <w:bCs/>
                <w:iCs/>
                <w:sz w:val="24"/>
                <w:szCs w:val="24"/>
              </w:rPr>
              <w:t>DESTINATARI</w:t>
            </w:r>
          </w:p>
          <w:p w:rsidR="00F40FA6" w:rsidRPr="00F40FA6" w:rsidRDefault="00F40FA6" w:rsidP="0065100F">
            <w:pPr>
              <w:autoSpaceDE w:val="0"/>
              <w:autoSpaceDN w:val="0"/>
              <w:adjustRightInd w:val="0"/>
              <w:rPr>
                <w:rFonts w:cs="Times New Roman"/>
                <w:b/>
                <w:bCs/>
                <w:iCs/>
                <w:sz w:val="24"/>
                <w:szCs w:val="24"/>
              </w:rPr>
            </w:pPr>
            <w:r w:rsidRPr="00F40FA6">
              <w:rPr>
                <w:rFonts w:cs="Times New Roman"/>
                <w:b/>
                <w:bCs/>
                <w:iCs/>
                <w:sz w:val="24"/>
                <w:szCs w:val="24"/>
              </w:rPr>
              <w:t>TEMPI</w:t>
            </w:r>
          </w:p>
          <w:p w:rsidR="00F40FA6" w:rsidRPr="00F40FA6" w:rsidRDefault="00F40FA6" w:rsidP="0065100F">
            <w:pPr>
              <w:jc w:val="both"/>
              <w:rPr>
                <w:sz w:val="24"/>
                <w:szCs w:val="24"/>
              </w:rPr>
            </w:pPr>
          </w:p>
        </w:tc>
        <w:tc>
          <w:tcPr>
            <w:tcW w:w="4882" w:type="dxa"/>
          </w:tcPr>
          <w:p w:rsidR="00F40FA6" w:rsidRDefault="00F40FA6" w:rsidP="00F40FA6">
            <w:pPr>
              <w:jc w:val="both"/>
              <w:rPr>
                <w:sz w:val="24"/>
                <w:szCs w:val="24"/>
              </w:rPr>
            </w:pPr>
            <w:r>
              <w:rPr>
                <w:sz w:val="24"/>
                <w:szCs w:val="24"/>
              </w:rPr>
              <w:t>Alunni delle classi prime</w:t>
            </w:r>
          </w:p>
          <w:p w:rsidR="00F40FA6" w:rsidRPr="0047136E" w:rsidRDefault="00F40FA6" w:rsidP="00F40FA6">
            <w:pPr>
              <w:jc w:val="both"/>
              <w:rPr>
                <w:sz w:val="24"/>
                <w:szCs w:val="24"/>
              </w:rPr>
            </w:pPr>
            <w:r>
              <w:rPr>
                <w:sz w:val="24"/>
                <w:szCs w:val="24"/>
              </w:rPr>
              <w:t>Sesta ora</w:t>
            </w:r>
          </w:p>
        </w:tc>
      </w:tr>
      <w:tr w:rsidR="00F40FA6" w:rsidRPr="0047136E" w:rsidTr="00F40FA6">
        <w:tc>
          <w:tcPr>
            <w:tcW w:w="4882" w:type="dxa"/>
          </w:tcPr>
          <w:p w:rsidR="00F40FA6" w:rsidRPr="00F40FA6" w:rsidRDefault="00F40FA6" w:rsidP="0065100F">
            <w:pPr>
              <w:jc w:val="both"/>
              <w:rPr>
                <w:sz w:val="24"/>
                <w:szCs w:val="24"/>
              </w:rPr>
            </w:pPr>
            <w:r w:rsidRPr="00F40FA6">
              <w:rPr>
                <w:rFonts w:cs="Times New Roman"/>
                <w:b/>
                <w:bCs/>
                <w:iCs/>
                <w:sz w:val="24"/>
                <w:szCs w:val="24"/>
              </w:rPr>
              <w:t>DOCENTI COINVOLTI</w:t>
            </w:r>
          </w:p>
        </w:tc>
        <w:tc>
          <w:tcPr>
            <w:tcW w:w="4882" w:type="dxa"/>
          </w:tcPr>
          <w:p w:rsidR="00F40FA6" w:rsidRPr="0047136E" w:rsidRDefault="00F40FA6" w:rsidP="0065100F">
            <w:pPr>
              <w:jc w:val="both"/>
              <w:rPr>
                <w:sz w:val="24"/>
                <w:szCs w:val="24"/>
              </w:rPr>
            </w:pPr>
            <w:r>
              <w:rPr>
                <w:sz w:val="24"/>
                <w:szCs w:val="24"/>
              </w:rPr>
              <w:t>Docenti di Lettere della scuola secondaria di I grado</w:t>
            </w:r>
          </w:p>
        </w:tc>
      </w:tr>
    </w:tbl>
    <w:p w:rsidR="00BF7001" w:rsidRDefault="00BF7001" w:rsidP="00853DE2">
      <w:pPr>
        <w:jc w:val="both"/>
        <w:rPr>
          <w:rFonts w:ascii="Monotype Corsiva" w:hAnsi="Monotype Corsiva"/>
          <w:color w:val="4F81BD" w:themeColor="accent1"/>
          <w:sz w:val="96"/>
          <w:szCs w:val="96"/>
        </w:rPr>
      </w:pPr>
    </w:p>
    <w:p w:rsidR="00BF7001" w:rsidRDefault="00BF7001" w:rsidP="003C3E73">
      <w:pPr>
        <w:jc w:val="center"/>
        <w:rPr>
          <w:rFonts w:ascii="Monotype Corsiva" w:hAnsi="Monotype Corsiva"/>
          <w:color w:val="4F81BD" w:themeColor="accent1"/>
          <w:sz w:val="96"/>
          <w:szCs w:val="96"/>
        </w:rPr>
      </w:pPr>
    </w:p>
    <w:p w:rsidR="00BF7001" w:rsidRDefault="00BF7001" w:rsidP="003C3E73">
      <w:pPr>
        <w:jc w:val="center"/>
        <w:rPr>
          <w:rFonts w:ascii="Monotype Corsiva" w:hAnsi="Monotype Corsiva"/>
          <w:color w:val="4F81BD" w:themeColor="accent1"/>
          <w:sz w:val="96"/>
          <w:szCs w:val="96"/>
        </w:rPr>
      </w:pPr>
    </w:p>
    <w:p w:rsidR="003C3E73" w:rsidRPr="00853DE2" w:rsidRDefault="003C3E73" w:rsidP="00BF7001">
      <w:pPr>
        <w:jc w:val="both"/>
        <w:rPr>
          <w:sz w:val="40"/>
          <w:szCs w:val="40"/>
        </w:rPr>
      </w:pPr>
    </w:p>
    <w:p w:rsidR="003C3E73" w:rsidRDefault="003C3E73" w:rsidP="003C3E73">
      <w:pPr>
        <w:jc w:val="center"/>
      </w:pPr>
    </w:p>
    <w:sectPr w:rsidR="003C3E73" w:rsidSect="00BF700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A89" w:rsidRDefault="00197A89" w:rsidP="00853DE2">
      <w:pPr>
        <w:spacing w:after="0" w:line="240" w:lineRule="auto"/>
      </w:pPr>
      <w:r>
        <w:separator/>
      </w:r>
    </w:p>
  </w:endnote>
  <w:endnote w:type="continuationSeparator" w:id="0">
    <w:p w:rsidR="00197A89" w:rsidRDefault="00197A89" w:rsidP="00853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Times New Roman,Bold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A89" w:rsidRDefault="00197A89" w:rsidP="00853DE2">
      <w:pPr>
        <w:spacing w:after="0" w:line="240" w:lineRule="auto"/>
      </w:pPr>
      <w:r>
        <w:separator/>
      </w:r>
    </w:p>
  </w:footnote>
  <w:footnote w:type="continuationSeparator" w:id="0">
    <w:p w:rsidR="00197A89" w:rsidRDefault="00197A89" w:rsidP="00853D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3E73"/>
    <w:rsid w:val="00197A89"/>
    <w:rsid w:val="001D306C"/>
    <w:rsid w:val="003C3E73"/>
    <w:rsid w:val="00853DE2"/>
    <w:rsid w:val="00855BF3"/>
    <w:rsid w:val="00860221"/>
    <w:rsid w:val="00882F37"/>
    <w:rsid w:val="009210E9"/>
    <w:rsid w:val="00961C12"/>
    <w:rsid w:val="009723E8"/>
    <w:rsid w:val="009917D7"/>
    <w:rsid w:val="00BF7001"/>
    <w:rsid w:val="00D27D6B"/>
    <w:rsid w:val="00DA3810"/>
    <w:rsid w:val="00F40F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B06246-9E46-405B-AAB4-447174D78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6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3E7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C3E73"/>
    <w:rPr>
      <w:rFonts w:ascii="Tahoma" w:hAnsi="Tahoma" w:cs="Tahoma"/>
      <w:sz w:val="16"/>
      <w:szCs w:val="16"/>
    </w:rPr>
  </w:style>
  <w:style w:type="paragraph" w:customStyle="1" w:styleId="Default">
    <w:name w:val="Default"/>
    <w:rsid w:val="00BF7001"/>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BF7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853DE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53DE2"/>
  </w:style>
  <w:style w:type="paragraph" w:styleId="Pidipagina">
    <w:name w:val="footer"/>
    <w:basedOn w:val="Normale"/>
    <w:link w:val="PidipaginaCarattere"/>
    <w:uiPriority w:val="99"/>
    <w:semiHidden/>
    <w:unhideWhenUsed/>
    <w:rsid w:val="00853DE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53DE2"/>
  </w:style>
  <w:style w:type="paragraph" w:styleId="Paragrafoelenco">
    <w:name w:val="List Paragraph"/>
    <w:basedOn w:val="Normale"/>
    <w:uiPriority w:val="34"/>
    <w:qFormat/>
    <w:rsid w:val="00853D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ogle.it/url?sa=i&amp;rct=j&amp;q=&amp;esrc=s&amp;source=images&amp;cd=&amp;cad=rja&amp;uact=8&amp;ved=0ahUKEwjB0ZvSrOHWAhUMvRoKHYchCiMQjRwIBw&amp;url=https://das-kabarett.blogspot.com/2014/06/grammatica-e-grammatiche.html&amp;psig=AOvVaw0qYlwk5Sn2nNBWGzgVKu7M&amp;ust=1507563127022792"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572</Words>
  <Characters>3262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Ersilia Pescatore</cp:lastModifiedBy>
  <cp:revision>4</cp:revision>
  <dcterms:created xsi:type="dcterms:W3CDTF">2018-07-09T10:12:00Z</dcterms:created>
  <dcterms:modified xsi:type="dcterms:W3CDTF">2017-10-20T22:38:00Z</dcterms:modified>
</cp:coreProperties>
</file>