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A48" w:rsidRDefault="00605A48" w:rsidP="00605A48">
      <w:pPr>
        <w:jc w:val="center"/>
        <w:rPr>
          <w:rFonts w:ascii="Monotype Corsiva" w:hAnsi="Monotype Corsiva"/>
          <w:color w:val="FF0000"/>
          <w:sz w:val="48"/>
          <w:szCs w:val="48"/>
        </w:rPr>
      </w:pPr>
      <w:r w:rsidRPr="00605A48">
        <w:rPr>
          <w:rFonts w:ascii="Monotype Corsiva" w:hAnsi="Monotype Corsiva"/>
          <w:color w:val="FF0000"/>
          <w:sz w:val="48"/>
          <w:szCs w:val="48"/>
        </w:rPr>
        <w:t>Ampliamento dell’offerta formativa</w:t>
      </w:r>
      <w:r>
        <w:rPr>
          <w:rFonts w:ascii="Monotype Corsiva" w:hAnsi="Monotype Corsiva"/>
          <w:color w:val="FF0000"/>
          <w:sz w:val="48"/>
          <w:szCs w:val="48"/>
        </w:rPr>
        <w:t xml:space="preserve"> </w:t>
      </w:r>
    </w:p>
    <w:p w:rsidR="00605A48" w:rsidRPr="00605A48" w:rsidRDefault="00605A48" w:rsidP="00605A48">
      <w:pPr>
        <w:jc w:val="center"/>
        <w:rPr>
          <w:rFonts w:ascii="Monotype Corsiva" w:hAnsi="Monotype Corsiva"/>
          <w:color w:val="FF0000"/>
          <w:sz w:val="48"/>
          <w:szCs w:val="48"/>
        </w:rPr>
      </w:pPr>
      <w:r>
        <w:rPr>
          <w:rFonts w:ascii="Monotype Corsiva" w:hAnsi="Monotype Corsiva"/>
          <w:color w:val="FF0000"/>
          <w:sz w:val="48"/>
          <w:szCs w:val="48"/>
        </w:rPr>
        <w:t>Anno Scolastico 2017/2018</w:t>
      </w:r>
    </w:p>
    <w:p w:rsidR="00605A48" w:rsidRPr="00605A48" w:rsidRDefault="00605A48" w:rsidP="00605A48">
      <w:pPr>
        <w:jc w:val="center"/>
        <w:rPr>
          <w:rFonts w:ascii="Monotype Corsiva" w:hAnsi="Monotype Corsiva"/>
          <w:color w:val="FF0000"/>
          <w:sz w:val="48"/>
          <w:szCs w:val="48"/>
        </w:rPr>
      </w:pPr>
      <w:r w:rsidRPr="00605A48">
        <w:rPr>
          <w:rFonts w:ascii="Monotype Corsiva" w:hAnsi="Monotype Corsiva"/>
          <w:color w:val="FF0000"/>
          <w:sz w:val="48"/>
          <w:szCs w:val="48"/>
        </w:rPr>
        <w:t>Laboratorio linguistico classi seconde e terze</w:t>
      </w:r>
    </w:p>
    <w:p w:rsidR="003D113F" w:rsidRDefault="003D113F"/>
    <w:p w:rsidR="003D113F" w:rsidRDefault="003103D4" w:rsidP="003D113F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1.75pt;height:39.7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font-size:32pt;v-text-kern:t" trim="t" fitpath="t" string="&quot;Prova Invalsi, no problem!&quot;"/>
          </v:shape>
        </w:pict>
      </w:r>
    </w:p>
    <w:p w:rsidR="003D113F" w:rsidRDefault="003D113F"/>
    <w:p w:rsidR="003D113F" w:rsidRDefault="003D113F"/>
    <w:p w:rsidR="003D113F" w:rsidRDefault="003D113F"/>
    <w:p w:rsidR="003D113F" w:rsidRDefault="003D113F" w:rsidP="003D113F">
      <w:pPr>
        <w:jc w:val="center"/>
      </w:pPr>
    </w:p>
    <w:p w:rsidR="003D113F" w:rsidRDefault="003D113F" w:rsidP="003D113F">
      <w:pPr>
        <w:jc w:val="center"/>
      </w:pPr>
      <w:r>
        <w:rPr>
          <w:noProof/>
          <w:color w:val="0000FF"/>
          <w:lang w:eastAsia="it-IT"/>
        </w:rPr>
        <w:drawing>
          <wp:inline distT="0" distB="0" distL="0" distR="0">
            <wp:extent cx="4285532" cy="3260785"/>
            <wp:effectExtent l="19050" t="0" r="718" b="0"/>
            <wp:docPr id="1" name="irc_mi" descr="http://3.bp.blogspot.com/-fGSwIBGP8ko/T3m13BKgAkI/AAAAAAAAEyw/UyhXMVwI9xc/s1600/lab4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fGSwIBGP8ko/T3m13BKgAkI/AAAAAAAAEyw/UyhXMVwI9xc/s1600/lab4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057" cy="3271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13F" w:rsidRDefault="003D113F" w:rsidP="003D113F">
      <w:pPr>
        <w:jc w:val="center"/>
      </w:pPr>
    </w:p>
    <w:p w:rsidR="003D113F" w:rsidRDefault="003D113F" w:rsidP="003D113F">
      <w:pPr>
        <w:jc w:val="center"/>
      </w:pPr>
    </w:p>
    <w:p w:rsidR="003D113F" w:rsidRDefault="003D113F" w:rsidP="003D113F">
      <w:pPr>
        <w:jc w:val="center"/>
      </w:pPr>
    </w:p>
    <w:p w:rsidR="003D113F" w:rsidRDefault="003D113F" w:rsidP="003D113F">
      <w:pPr>
        <w:jc w:val="center"/>
      </w:pPr>
    </w:p>
    <w:p w:rsidR="003D113F" w:rsidRDefault="003D113F" w:rsidP="003D113F">
      <w:pPr>
        <w:jc w:val="center"/>
      </w:pPr>
    </w:p>
    <w:p w:rsidR="00605A48" w:rsidRDefault="00605A48" w:rsidP="003D113F">
      <w:pPr>
        <w:jc w:val="center"/>
      </w:pPr>
    </w:p>
    <w:p w:rsidR="003D113F" w:rsidRDefault="003D113F" w:rsidP="003D113F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D113F" w:rsidRPr="0047136E" w:rsidTr="003D113F">
        <w:tc>
          <w:tcPr>
            <w:tcW w:w="4889" w:type="dxa"/>
          </w:tcPr>
          <w:p w:rsidR="003D113F" w:rsidRPr="0047136E" w:rsidRDefault="003D113F" w:rsidP="003D113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PREMESSA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3D113F" w:rsidRPr="0047136E" w:rsidRDefault="003D113F" w:rsidP="003D113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Da alcuni anni a questa parte, seguendo una tendenza affermatasi in altri Paesi, anche in</w:t>
            </w:r>
          </w:p>
          <w:p w:rsidR="003D113F" w:rsidRPr="0047136E" w:rsidRDefault="003D113F" w:rsidP="003D113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Italia si è fatta strada l’esigenza di affiancare alla valutazione degli alunni, tradizionalmente</w:t>
            </w:r>
          </w:p>
          <w:p w:rsidR="003D113F" w:rsidRPr="0047136E" w:rsidRDefault="003D113F" w:rsidP="003D113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effettuata dai docenti di classe, una forma di valutazione esterna appannaggio di un Ente di</w:t>
            </w:r>
          </w:p>
          <w:p w:rsidR="003D113F" w:rsidRPr="0047136E" w:rsidRDefault="003D113F" w:rsidP="003D113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Valutazione Nazionale, l’INDIRE che, attraverso il Progett</w:t>
            </w:r>
            <w:r w:rsidR="003103D4">
              <w:rPr>
                <w:rFonts w:cs="Times New Roman"/>
                <w:sz w:val="24"/>
                <w:szCs w:val="24"/>
              </w:rPr>
              <w:t>o Pilota prima, e l’Invalsi poi</w:t>
            </w:r>
            <w:r w:rsidRPr="0047136E">
              <w:rPr>
                <w:rFonts w:cs="Times New Roman"/>
                <w:sz w:val="24"/>
                <w:szCs w:val="24"/>
              </w:rPr>
              <w:t>, coinvolge le classi III della sc</w:t>
            </w:r>
            <w:r w:rsidR="003103D4">
              <w:rPr>
                <w:rFonts w:cs="Times New Roman"/>
                <w:sz w:val="24"/>
                <w:szCs w:val="24"/>
              </w:rPr>
              <w:t xml:space="preserve">uola secondaria di primo grado </w:t>
            </w:r>
            <w:bookmarkStart w:id="0" w:name="_GoBack"/>
            <w:bookmarkEnd w:id="0"/>
            <w:r w:rsidRPr="0047136E">
              <w:rPr>
                <w:rFonts w:cs="Times New Roman"/>
                <w:sz w:val="24"/>
                <w:szCs w:val="24"/>
              </w:rPr>
              <w:t>per effettuare una valutazione sui livelli di apprendimento su tutto il territorio nazionale.</w:t>
            </w:r>
          </w:p>
          <w:p w:rsidR="003D113F" w:rsidRPr="0047136E" w:rsidRDefault="003D113F" w:rsidP="003D113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Le prove INVALSI hanno lo scopo di rilevare le competenze degli alunni in due aree chiave,</w:t>
            </w:r>
          </w:p>
          <w:p w:rsidR="003D113F" w:rsidRPr="0047136E" w:rsidRDefault="003D113F" w:rsidP="003D113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l’italiano e la matematica alla fine del triennio della scuola media.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</w:tr>
      <w:tr w:rsidR="003D113F" w:rsidRPr="0047136E" w:rsidTr="003D113F">
        <w:tc>
          <w:tcPr>
            <w:tcW w:w="4889" w:type="dxa"/>
          </w:tcPr>
          <w:p w:rsidR="003D113F" w:rsidRPr="0047136E" w:rsidRDefault="003D113F" w:rsidP="003D113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MOTIVAZIONE DEL PROGETTO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3D113F" w:rsidRPr="0047136E" w:rsidRDefault="003D113F" w:rsidP="002A0F9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 xml:space="preserve">I docenti, proponendo questo </w:t>
            </w:r>
            <w:r w:rsidR="00792F82">
              <w:rPr>
                <w:rFonts w:cs="Times New Roman"/>
                <w:sz w:val="24"/>
                <w:szCs w:val="24"/>
              </w:rPr>
              <w:t>laboratorio</w:t>
            </w:r>
            <w:r w:rsidRPr="0047136E">
              <w:rPr>
                <w:rFonts w:cs="Times New Roman"/>
                <w:sz w:val="24"/>
                <w:szCs w:val="24"/>
              </w:rPr>
              <w:t>, intendono attuare un percorso di preparazione degli alunni</w:t>
            </w:r>
            <w:r w:rsidR="002A0F94" w:rsidRP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alla tipologia di prova implementata e somministrata in campo nazionale. Non tutti gli alunni</w:t>
            </w:r>
            <w:r w:rsid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riescono ad affrontare tali prove con prontezza e serenità rispettando le procedure ed i tempi</w:t>
            </w:r>
            <w:r w:rsid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stabiliti. In tal modo si cercherà di calibrare gli interventi educativi in vista di un corretto</w:t>
            </w:r>
            <w:r w:rsid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svolgimento delle prove in modo da stabilire una corrispondenza reale tra le due tipologie di</w:t>
            </w:r>
          </w:p>
          <w:p w:rsidR="003D113F" w:rsidRPr="0047136E" w:rsidRDefault="003D113F" w:rsidP="002A0F9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valutazione (interna ed esterna).</w:t>
            </w:r>
          </w:p>
          <w:p w:rsidR="003D113F" w:rsidRPr="0047136E" w:rsidRDefault="003D113F" w:rsidP="002A0F9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Il progetto si propone di potenziare, a livello concettuale e cognitivo, capacità critiche, riflessive,</w:t>
            </w:r>
            <w:r w:rsidR="002A0F94" w:rsidRP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logiche inferenziali e del pensiero divergente al fine di mettere in grado l’alunno di eseguire</w:t>
            </w:r>
            <w:r w:rsidR="002A0F94" w:rsidRP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un’attività in piena autonomia ed entro un tempo stabilito.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</w:tr>
      <w:tr w:rsidR="003D113F" w:rsidRPr="0047136E" w:rsidTr="003D113F">
        <w:tc>
          <w:tcPr>
            <w:tcW w:w="4889" w:type="dxa"/>
          </w:tcPr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,BoldItalic"/>
                <w:b/>
                <w:bCs/>
                <w:i/>
                <w:iCs/>
                <w:sz w:val="24"/>
                <w:szCs w:val="24"/>
              </w:rPr>
            </w:pPr>
            <w:r w:rsidRPr="0047136E">
              <w:rPr>
                <w:rFonts w:cs="Times New Roman,BoldItalic"/>
                <w:b/>
                <w:bCs/>
                <w:i/>
                <w:iCs/>
                <w:sz w:val="24"/>
                <w:szCs w:val="24"/>
              </w:rPr>
              <w:t>FINALITA’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 Potenziare gli apprendimenti degli alunni delle classi destinatarie del progetto;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 promuovere una più sentita socializzazione nella vita comunitaria scolastica;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 consolidare le competenze e le abilità di base;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 innalzare il tasso di successo scolastico;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-colmare il gap formativo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</w:tr>
      <w:tr w:rsidR="003D113F" w:rsidRPr="0047136E" w:rsidTr="003D113F">
        <w:tc>
          <w:tcPr>
            <w:tcW w:w="4889" w:type="dxa"/>
          </w:tcPr>
          <w:p w:rsidR="002A0F94" w:rsidRPr="0047136E" w:rsidRDefault="002A0F94" w:rsidP="002A0F94">
            <w:pPr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OBIETTIVI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lastRenderedPageBreak/>
              <w:t xml:space="preserve">- Fornire agli studenti strumenti cognitivi e </w:t>
            </w:r>
            <w:r w:rsidRPr="0047136E">
              <w:rPr>
                <w:rFonts w:cs="Times New Roman"/>
                <w:sz w:val="24"/>
                <w:szCs w:val="24"/>
              </w:rPr>
              <w:lastRenderedPageBreak/>
              <w:t>capacità di valutazione sufficienti per essere in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grado di distinguere, tra le varie risposte fornite, quella più adeguata e probabile in piena</w:t>
            </w:r>
            <w:r w:rsid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autonomia;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 migliorare la capacità di attenzione e concentrazione;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 potenziare lo sviluppo delle abilità di ascoltare, comunicare, leggere, comprendere e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decodificare;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 rafforzare le capacità logiche;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 programmare in modo corretto le fasi di un lavoro.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</w:tr>
      <w:tr w:rsidR="003D113F" w:rsidRPr="0047136E" w:rsidTr="003D113F">
        <w:tc>
          <w:tcPr>
            <w:tcW w:w="4889" w:type="dxa"/>
          </w:tcPr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sz w:val="24"/>
                <w:szCs w:val="24"/>
              </w:rPr>
              <w:lastRenderedPageBreak/>
              <w:t>COMPETENZE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sz w:val="24"/>
                <w:szCs w:val="24"/>
              </w:rPr>
              <w:t>Area linguistica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- Sviluppare le capacità di:</w:t>
            </w:r>
          </w:p>
          <w:p w:rsidR="002A0F94" w:rsidRPr="0047136E" w:rsidRDefault="0047136E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1. s</w:t>
            </w:r>
            <w:r w:rsidR="002A0F94" w:rsidRPr="0047136E">
              <w:rPr>
                <w:rFonts w:cs="Times New Roman"/>
                <w:sz w:val="24"/>
                <w:szCs w:val="24"/>
              </w:rPr>
              <w:t>trutturare il linguaggio al fine di servirsene per i vari scopi comunicativi in vari contesti;</w:t>
            </w:r>
          </w:p>
          <w:p w:rsidR="002A0F94" w:rsidRPr="0047136E" w:rsidRDefault="0047136E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2. l</w:t>
            </w:r>
            <w:r w:rsidR="002A0F94" w:rsidRPr="0047136E">
              <w:rPr>
                <w:rFonts w:cs="Times New Roman"/>
                <w:sz w:val="24"/>
                <w:szCs w:val="24"/>
              </w:rPr>
              <w:t>eggere, comprendere ed interpretare testi scritti di vario tipo;</w:t>
            </w:r>
          </w:p>
          <w:p w:rsidR="002A0F94" w:rsidRPr="0047136E" w:rsidRDefault="0047136E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3. a</w:t>
            </w:r>
            <w:r w:rsidR="002A0F94" w:rsidRPr="0047136E">
              <w:rPr>
                <w:rFonts w:cs="Times New Roman"/>
                <w:sz w:val="24"/>
                <w:szCs w:val="24"/>
              </w:rPr>
              <w:t>nalizzare e riflettere sulle varie tipologie testuali</w:t>
            </w:r>
            <w:r w:rsidRPr="0047136E">
              <w:rPr>
                <w:rFonts w:cs="Times New Roman"/>
                <w:sz w:val="24"/>
                <w:szCs w:val="24"/>
              </w:rPr>
              <w:t xml:space="preserve"> e sulle strutture linguistiche;</w:t>
            </w:r>
          </w:p>
          <w:p w:rsidR="003D113F" w:rsidRPr="0047136E" w:rsidRDefault="0047136E" w:rsidP="004713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4. rafforzare le capacità logiche inferenziali.</w:t>
            </w:r>
          </w:p>
        </w:tc>
      </w:tr>
      <w:tr w:rsidR="003D113F" w:rsidRPr="0047136E" w:rsidTr="003D113F">
        <w:tc>
          <w:tcPr>
            <w:tcW w:w="4889" w:type="dxa"/>
          </w:tcPr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METODOLOGIA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2A0F94" w:rsidRPr="0047136E" w:rsidRDefault="002A0F94" w:rsidP="0047136E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Saranno somministrate prove strutturate. I quesiti presentati saranno formulati usando testi, figure,</w:t>
            </w:r>
            <w:r w:rsidR="0047136E" w:rsidRP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immagini, tabelle e grafici. Saranno inoltre utilizzati quesiti a risposta chiusa e a risposta aperta e</w:t>
            </w:r>
            <w:r w:rsidR="0047136E" w:rsidRP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schede di approfondimento per l’approccio ai concetti più complicati, attraverso la sistematica e</w:t>
            </w:r>
            <w:r w:rsidR="0047136E" w:rsidRP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progressiva valutazione della competenza di lettura (strumentale e inferenziale), comprensione,interpretazione, riflessione e valutazione del testo scritto e delle conoscenze e competenze</w:t>
            </w:r>
            <w:r w:rsidR="0047136E" w:rsidRP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grammaticali, che sono alla base della padronanza linguistica</w:t>
            </w:r>
            <w:r w:rsidR="0047136E" w:rsidRPr="0047136E">
              <w:rPr>
                <w:rFonts w:cs="Times New Roman"/>
                <w:sz w:val="24"/>
                <w:szCs w:val="24"/>
              </w:rPr>
              <w:t>.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Sono previste esercitazioni di gruppo e qualora necessitasse individuali, test guidati, test con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autovalutazione, simulazione delle prove d’esame, lezione frontale, cooperative learning.</w:t>
            </w:r>
          </w:p>
          <w:p w:rsidR="002A0F94" w:rsidRPr="0047136E" w:rsidRDefault="002A0F94" w:rsidP="002A0F9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Attraverso tali procedure si renderanno comprensibili le diverse sotto-competenze relative ai</w:t>
            </w:r>
            <w:r w:rsidR="0047136E" w:rsidRP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processi messi in atto dagli studenti nella risoluzione dei “compiti ” richiesti in modo da sviluppare</w:t>
            </w:r>
            <w:r w:rsidR="0047136E" w:rsidRPr="0047136E">
              <w:rPr>
                <w:rFonts w:cs="Times New Roman"/>
                <w:sz w:val="24"/>
                <w:szCs w:val="24"/>
              </w:rPr>
              <w:t xml:space="preserve"> </w:t>
            </w:r>
            <w:r w:rsidRPr="0047136E">
              <w:rPr>
                <w:rFonts w:cs="Times New Roman"/>
                <w:sz w:val="24"/>
                <w:szCs w:val="24"/>
              </w:rPr>
              <w:t>tutti gli ambiti di apprendimento.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</w:tr>
      <w:tr w:rsidR="003D113F" w:rsidRPr="0047136E" w:rsidTr="003D113F">
        <w:tc>
          <w:tcPr>
            <w:tcW w:w="4889" w:type="dxa"/>
          </w:tcPr>
          <w:p w:rsidR="00C22800" w:rsidRPr="0047136E" w:rsidRDefault="00C22800" w:rsidP="00C22800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STRUMENTI E MEZZI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C22800" w:rsidRPr="0047136E" w:rsidRDefault="00C22800" w:rsidP="00C2280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Schede strutturate e non – Esercitazioni finalizzate – Fotocopie - Laboratorio informatico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</w:tr>
      <w:tr w:rsidR="003D113F" w:rsidRPr="0047136E" w:rsidTr="003D113F">
        <w:tc>
          <w:tcPr>
            <w:tcW w:w="4889" w:type="dxa"/>
          </w:tcPr>
          <w:p w:rsidR="00C22800" w:rsidRPr="0047136E" w:rsidRDefault="00C22800" w:rsidP="00C22800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lastRenderedPageBreak/>
              <w:t>VERIFICA E VALUTAZIONE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C22800" w:rsidRPr="0047136E" w:rsidRDefault="00C22800" w:rsidP="00C2280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>Somministrazione di prove specifiche strutturate sul modello INVALSI durante il corso e a</w:t>
            </w:r>
          </w:p>
          <w:p w:rsidR="00C22800" w:rsidRPr="0047136E" w:rsidRDefault="00C22800" w:rsidP="00C2280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136E">
              <w:rPr>
                <w:rFonts w:cs="Times New Roman"/>
                <w:sz w:val="24"/>
                <w:szCs w:val="24"/>
              </w:rPr>
              <w:t xml:space="preserve">conclusione del </w:t>
            </w:r>
            <w:r w:rsidR="00792F82">
              <w:rPr>
                <w:rFonts w:cs="Times New Roman"/>
                <w:sz w:val="24"/>
                <w:szCs w:val="24"/>
              </w:rPr>
              <w:t>laboratorio</w:t>
            </w:r>
            <w:r w:rsidRPr="0047136E">
              <w:rPr>
                <w:rFonts w:cs="Times New Roman"/>
                <w:sz w:val="24"/>
                <w:szCs w:val="24"/>
              </w:rPr>
              <w:t>. Valutazione oggettiva dei quesiti.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</w:tr>
      <w:tr w:rsidR="003D113F" w:rsidRPr="0047136E" w:rsidTr="003D113F">
        <w:tc>
          <w:tcPr>
            <w:tcW w:w="4889" w:type="dxa"/>
          </w:tcPr>
          <w:p w:rsidR="003D61FE" w:rsidRPr="0047136E" w:rsidRDefault="003D61FE" w:rsidP="003D61FE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DESTINATARI</w:t>
            </w:r>
          </w:p>
          <w:p w:rsidR="003D61FE" w:rsidRPr="0047136E" w:rsidRDefault="003D61FE" w:rsidP="003D61FE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TEMPI</w:t>
            </w:r>
          </w:p>
          <w:p w:rsidR="003D113F" w:rsidRPr="0047136E" w:rsidRDefault="003D113F" w:rsidP="003D11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47136E" w:rsidRDefault="00792F82" w:rsidP="00605A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Alunni delle classi </w:t>
            </w:r>
            <w:r w:rsidR="00605A48">
              <w:rPr>
                <w:sz w:val="24"/>
                <w:szCs w:val="24"/>
              </w:rPr>
              <w:t>seconde e terze</w:t>
            </w:r>
          </w:p>
          <w:p w:rsidR="00605A48" w:rsidRPr="0047136E" w:rsidRDefault="00605A48" w:rsidP="00605A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Seste ore</w:t>
            </w:r>
          </w:p>
        </w:tc>
      </w:tr>
      <w:tr w:rsidR="003D113F" w:rsidRPr="0047136E" w:rsidTr="003D113F">
        <w:tc>
          <w:tcPr>
            <w:tcW w:w="4889" w:type="dxa"/>
          </w:tcPr>
          <w:p w:rsidR="003D113F" w:rsidRPr="0047136E" w:rsidRDefault="0047136E" w:rsidP="003D113F">
            <w:pPr>
              <w:jc w:val="both"/>
              <w:rPr>
                <w:sz w:val="24"/>
                <w:szCs w:val="24"/>
              </w:rPr>
            </w:pPr>
            <w:r w:rsidRPr="0047136E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>DOCENTI COINVOLTI</w:t>
            </w:r>
          </w:p>
        </w:tc>
        <w:tc>
          <w:tcPr>
            <w:tcW w:w="4889" w:type="dxa"/>
          </w:tcPr>
          <w:p w:rsidR="003D113F" w:rsidRPr="0047136E" w:rsidRDefault="0047136E" w:rsidP="003D11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Docenti di Lettere della scuola secondaria di I grado</w:t>
            </w:r>
          </w:p>
        </w:tc>
      </w:tr>
    </w:tbl>
    <w:p w:rsidR="003D113F" w:rsidRPr="0047136E" w:rsidRDefault="003D113F" w:rsidP="003D113F">
      <w:pPr>
        <w:jc w:val="both"/>
        <w:rPr>
          <w:sz w:val="24"/>
          <w:szCs w:val="24"/>
        </w:rPr>
      </w:pPr>
    </w:p>
    <w:p w:rsidR="003D113F" w:rsidRPr="0047136E" w:rsidRDefault="003D113F" w:rsidP="003D113F">
      <w:pPr>
        <w:jc w:val="center"/>
        <w:rPr>
          <w:sz w:val="24"/>
          <w:szCs w:val="24"/>
        </w:rPr>
      </w:pPr>
    </w:p>
    <w:p w:rsidR="003D113F" w:rsidRPr="0047136E" w:rsidRDefault="003D113F" w:rsidP="003D113F">
      <w:pPr>
        <w:jc w:val="center"/>
        <w:rPr>
          <w:sz w:val="24"/>
          <w:szCs w:val="24"/>
        </w:rPr>
      </w:pPr>
    </w:p>
    <w:sectPr w:rsidR="003D113F" w:rsidRPr="0047136E" w:rsidSect="000D47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D113F"/>
    <w:rsid w:val="000D47C4"/>
    <w:rsid w:val="002A0F94"/>
    <w:rsid w:val="003103D4"/>
    <w:rsid w:val="00334274"/>
    <w:rsid w:val="003D113F"/>
    <w:rsid w:val="003D61FE"/>
    <w:rsid w:val="00457A5E"/>
    <w:rsid w:val="0047136E"/>
    <w:rsid w:val="00605A48"/>
    <w:rsid w:val="00745DBF"/>
    <w:rsid w:val="00792F82"/>
    <w:rsid w:val="00856208"/>
    <w:rsid w:val="00C22800"/>
    <w:rsid w:val="00F65C43"/>
    <w:rsid w:val="00F9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4080F-34A3-4E5C-B60B-ACC368E3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47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113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D1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it/url?sa=i&amp;rct=j&amp;q=&amp;esrc=s&amp;source=images&amp;cd=&amp;cad=rja&amp;uact=8&amp;ved=0CAcQjRxqFQoTCKmYirGppMgCFYNxFAodKmIJQA&amp;url=http://www.crescerecreativamente.org/2012_04_01_archive.html&amp;psig=AFQjCNGsZa8gWZTXsXF4Fk0gLJbtPid6rw&amp;ust=144389368836514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Ersilia Pescatore</cp:lastModifiedBy>
  <cp:revision>4</cp:revision>
  <dcterms:created xsi:type="dcterms:W3CDTF">2018-07-09T10:11:00Z</dcterms:created>
  <dcterms:modified xsi:type="dcterms:W3CDTF">2017-10-20T22:36:00Z</dcterms:modified>
</cp:coreProperties>
</file>